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66</w:t>
      </w:r>
    </w:p>
    <w:p>
      <w:r>
        <w:t>Bundesgericht (BGE), 1965-10-25, DE</w:t>
      </w:r>
    </w:p>
    <w:p>
      <w:r>
        <w:rPr>
          <w:b/>
        </w:rPr>
        <w:t xml:space="preserve">Quelle: </w:t>
      </w:r>
      <w:r>
        <w:t>https://mcp.opencaselaw.ch/entscheid/bge_91 III 66</w:t>
      </w:r>
    </w:p>
    <w:p>
      <w:r>
        <w:t>FR: ATF 91 III 66</w:t>
      </w:r>
    </w:p>
    <w:p>
      <w:r>
        <w:t>IT: DTF 91 III 66</w:t>
      </w:r>
    </w:p>
    <w:p>
      <w:pPr>
        <w:pStyle w:val="Heading2"/>
      </w:pPr>
      <w:r>
        <w:t>Regeste</w:t>
      </w:r>
    </w:p>
    <w:p>
      <w:r>
        <w:t>Regeste Stellt die Ausstellung eines Checks Barzahlung im Sinne von Art. 136 SchKG und Art. 46 VZG dar?</w:t>
      </w:r>
    </w:p>
    <w:p>
      <w:pPr>
        <w:pStyle w:val="Heading2"/>
      </w:pPr>
      <w:r>
        <w:t>Erwägungen</w:t>
      </w:r>
    </w:p>
    <w:p>
      <w:r>
        <w:rPr>
          <w:b/>
        </w:rPr>
        <w:t>E. 1</w:t>
      </w:r>
    </w:p>
    <w:p>
      <w:r>
        <w:t>Die Rekurrenten bringen in erster Linie vor, die Ersteigerin habe die in den Steigerungsbedingungen geforderte Barzahlung nicht erbracht. a) Der grösste Teil der zu bezahlenden Pfandforderungen ist von der Ersteigerin auf andere Weise als durch Barzahlung getilgt worden. Sie hat der Gantbehörde eine Erklärung der Gläubigerin vorgelegt, aus der hervorgeht, dass diese die Einwohnergemeinde Laufenburg als neue Schuldnerin anerkennt und ihr gegenüber die Grundpfandtitel im 1. bis 5. Rang stehen lässt. Diese Zahlungsart wird dem Ersteigerer eines Grundstückes neben der Barzahlung durch Art. 47 Abs. 1 VZG ausdrücklich eingeräumt. Das Vorgehen der Gantbehörde ist deshalb nicht zu beanstanden. Zu Recht halten die Rekurrenten in diesem Punkte ihre noch vor den kantonalen Aufsichtsbehörden erhobenen Einwände nicht mehr aufrecht. b) Von der Ausnahmeregelung des Art. 47 Abs. 1 VZG nicht erfasst werden die Betreibungskosten der Pfandgläubiger. Für diese Kosten ist nach dem Wortlaut der Steigerungsbedingungen und gemäss Art. 46 Abs. 1 VZG Barzahlung zu leisten. Die Ausstellung eines Checks über Fr. 12'712.30, der u.a. zur Tilgung der Betreibungskosten diente, ist im vorliegenden Fall als Barzahlung im Sinne von Art. 136 SchKG und Art. 46 Abs. 1 VZG zu betrachten. Dabei fällt ins Gewicht, dass der Check auf die am Platze Laufenburg domizilierte Aargauische Hypotheken- und Handelsbank gezogen war, über dessen Deckung durch BGE 91 III 66 S. 69 Guthaben oder Kredit das Betreibungsamt sich sofort orientieren konnte und der Check - nach den verbindlichen Feststellungen der Vorinstanz - noch am Steigerungstag eingelöst worden ist (vgl. hiezu JAEGER N. 2 zu Art. 136 SchKG ). c) Nach dem Gesagten ist auch die für die Kosten der Verwertung und der Eigentumsübertragung in den Steigerungsbedingungen geforderte Hinterlage von Fr. 3000.-- ordnungsgemäss erbracht worden. Dieser Betrag war in der Checkzahlung von Fr. 12'712.30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